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9 grudnia 2021 r.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PAYBACK sprawdza, ile w tym roku wydamy na świąteczne zakupy </w:t>
        <w:br w:type="textWrapping"/>
      </w:r>
    </w:p>
    <w:p w:rsidR="00000000" w:rsidDel="00000000" w:rsidP="00000000" w:rsidRDefault="00000000" w:rsidRPr="00000000" w14:paraId="00000005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Wkraczamy w decydujący moment wielkiej przedświątecznej gorączki. Jaki budżet przeznaczymy w tym roku na zakup produktów na wigilijny stół, ile wydamy na prezenty dla najbliższych, gdzie planujemy je kupić i w końcu – jak zamierzamy spędzić nadchodzące święta? Na te i inne pytania znajdziemy odpowiedzi w wynikach najnowszego badania PAYBACK Opinion Poll.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Gdzie po zakupy na święta? Czyli szturm na sklepy wielkoformatowe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Tradycyjne, polskie święta dla wielu z nas oznaczają przede wszystkim czas spędzony z rodziną przy suto zastawionym stole. Gdzie zatem udajemy się po produkty niezbędne do przygotowania potraw świątecznych, które na nim goszczą? Uczestnicy badania wskazali, że przede wszystkim są to super- i hipermarkety, które odwiedzi 72% respondentów. Dyskonty z kolei wybiera 64% ankietowanych, a wciąż popularne targi i bazarki – 20% osób, które wzięły udział w PAYBACK Opinion Poll. Co ciekawe, zakupy przez internet w tym przypadku wskazał jedynie co ósmy badany (13%).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822674" cy="3820348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2674" cy="3820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Wybierając sklep, w którym kupimy artykuły spożywcze na święta, najczęściej kierujemy się ceną, poszukując promocji i produktów, które nie nadwerężą naszych budżetów – tak wskazało 72% ankietowanych. Dla 53% respondentów niezwykle ważna jest też jakość oferowanych artykułów spożywczych, a 50% z nas kieruje się wygodą i dostępnością wielu produktów w jednym miejscu. Co trzeci konsument (34%) zwraca uwagę także na lokalizację i wybiera sklepy, które znajdują się blisko domu.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Prezenty z dostawą do domu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Obok tradycyjnych potraw na wigilijnym stole w czasie świąt w polskich domach nie może zabraknąć prezentów pod choinką. Gdzie je zwykle kupujemy? Ponad połowa z nas (55%) najczęściej w tym celu wybiera sklepy online. Z kolei 46% udaje się do galerii handlowych, a co trzeci ankietowany (33%) kupuje upominki w super- lub hipermarketach. Powodem dominacji sklepów internetowych w tym przypadku może być zarówno trwająca ciągle pandemia, jak i fakt, że zakupy online oznaczają większą wygodę, która jest szczególnie istotna dla 35% badanych. Ponad 60% z nas szuka prezentów przede wszystkim w dobrych cenach lub takich, które są objęte promocją, a 45% zwraca uwagę na jakość oferowanego asortymentu.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374337" cy="3817931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4337" cy="38179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ile zakupy spożywcze na święta zwykle robimy kilka dni lub tydzień przed wigilią (odpowiednio 37 i 36% ankietowanych), o tyle upominki kupujemy wcześniej – dwa tygodnie lub nawet miesiąc przed świętami, co wskazało po 40% respondentów.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Pod naszymi choinkami w tym roku najczęściej znajdą się kosmetyki i perfumy, które zamierza kupić lub kupiła już blisko połowa badanych. Bardzo popularną gwiazdkową kategorią zakupową są też gry i zabawki, które znajdą się w koszykach co trzeciego respondenta, a także ubrania czy obuwie, które sprezentuje swoim najbliższym prawie 30% ankietowanych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Wśród popularnych, bożonarodzeniowych prezentów jest też elektronika, którą wskazał co czwarty ankietowany, książki i płyty (23% badanych) oraz słodycze (22%).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Jednocześnie, 7% osób, które wzięły udział w badaniu PAYBACK, w ogóle nie planuje w tym roku zakupu prezentów. W przypadku prawie 30% z nich powodem jest inflacja, która zmusza ich do ograniczenia tego typu wydatków. Co czwarty w tej grupie (26%) nie ma w zwyczaju kupowania upominków, a 15% wykona podarunki własnoręcznie.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Świąteczny budżet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Przygotowania do świąt to także zwykle duże wydatki, na które warto się wcześniej przygotować. Ile zatem planujemy wydać w tym roku?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Kupując produkty spożywcze na święta, ponad połowa respondentów (57%) przeznaczy na ten cel od 101 do 500 zł. Co trzeci ankietowany planuje wydać na takie zakupy od 501 do 1000 zł, a 5% – od 1001 do 1500 zł.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Podobnie kształtują się wyniki dotyczące zakupów świątecznych prezentów. Ponad połowa (53%) ankietowanych planuje wydać na upominki od 101 do 500 zł, 30% – od 501 do 1000 zł, a 9% od 1001 do 1500 zł.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728830" cy="3330300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8830" cy="33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Nasze zakupy sfinansujemy z bieżących dochodów lub oszczędności – tak wskazało 91% respondentów. Jedynie 9% ankietowanych sięgnie w tym celu po kartę kredytową, 4% po środki z programu 500+, a 3% wykorzysta środki od rodziny, przyjaciół lub zaciągnie pożyczkę.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 planowaniu świątecznego budżetu, pomagają nam oczywiście oferty promocyjne. Aktywnie poszukuje ich blisko 90% respondentów badania PAYBACK. Z pomocą przychodzą nam przede wszystkim gazetki promocyjne, do których zagląda 38% ankietowanych, strony internetowe, które wskazało 26% osób oraz aplikacje mobilne sklepów, a także reklamy telewizyjne, radiowe lub prasowe, które w naszej ankiecie wskazał co dziesiąty konsument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tłumaczy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Święta w gronie najbliższych wokół pachnącej choinki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jak spędzimy te wyjątkowe, świąteczne dni? Jak wynika z PAYBACK Opinion Poll, prawie 60% ankietowanych zamierza celebrować je w swoim domu, a co czwarty respondent wybiera się w tym czasie do swojej rodziny. Częściowo we własnym domu i w gronie rodziny lub znajomych święta spędzi natomiast 16% ankietowanych. Co ciekawe, turystyczne wyjazdy w Polsce lub za granicę planuje wtedy jedynie 2% badanych.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Czym jednak byłyby święta bez kolorowych lampek i ozdób? Dekorując swoje domy, ok. 40% respondentów postawi w tym roku na żywą choinkę, a tylko co czwarty ankietowany wybierze sztuczne drzewko. Około 30% respondentów dodatkowo udekoruje też swoje domy na zewnątrz, sięgając po girlandy świetlne czy figury LED.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22-23 listopada 2021 r. metodą ankiety online na grupie 899 osób. Grupa badawcza w wieku 18-65 lat dobrana została tak, aby odpowiadać strukturze demograficznej kraju.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 Programu mają do dyspozycji tysiące miejsc sprzedaży w tym 250 sklepów online, w których mogą zbierać punkty i wykorzystywać je na różne sposoby: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podczas płatności za zakupy – 6,8 miliarda wykorzystanych w 2020 roku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nagrody – już ponad 2 miliony rozdanych nagród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mile Miles &amp; More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przekazując na cele charytatywne.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2020 roku liczba transakcji, w których uczestnicy Programu zbierali i wykorzystywali punkty PAYBACK, sięgnęła ponad 109 milionów, a obrót nimi przekroczył 12,4 miliarda PLN.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30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image5.png"/>
              <a:graphic>
                <a:graphicData uri="http://schemas.openxmlformats.org/drawingml/2006/picture">
                  <pic:pic>
                    <pic:nvPicPr>
                      <pic:cNvPr descr="{&quot;HashCode&quot;:-2082467515,&quot;Height&quot;:842.0,&quot;Width&quot;:595.0,&quot;Placement&quot;:&quot;Footer&quot;,&quot;Index&quot;:&quot;Primary&quot;,&quot;Section&quot;:1,&quot;Top&quot;:0.0,&quot;Left&quot;:0.0}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1" name="image4.jpg"/>
          <a:graphic>
            <a:graphicData uri="http://schemas.openxmlformats.org/drawingml/2006/picture">
              <pic:pic>
                <pic:nvPicPr>
                  <pic:cNvPr descr="C:\Users\pruzik\Desktop\belkaPAYBACKnet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Bezodstpw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874E0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8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874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4224C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42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4224C"/>
    <w:rPr>
      <w:vertAlign w:val="superscript"/>
    </w:rPr>
  </w:style>
  <w:style w:type="paragraph" w:styleId="Poprawka">
    <w:name w:val="Revision"/>
    <w:hidden w:val="1"/>
    <w:uiPriority w:val="99"/>
    <w:semiHidden w:val="1"/>
    <w:rsid w:val="00F00959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_pl@payback.net" TargetMode="External"/><Relationship Id="rId10" Type="http://schemas.openxmlformats.org/officeDocument/2006/relationships/hyperlink" Target="mailto:agnieszka.ratajczyk@adequate.p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UygvLiUaLsFjh7vR/aJJSzUBA==">AMUW2mWzDwDQ5D5qNUQT2MeEHNho66h0hRFnI6apG/j5T8QpwReGJoR3MK1qGqfevgKsVgcVh/oJ15TJc/ZhKV/GiRxKjR665U1mk212Is4Gz7kDk37VFl4b0KIfZ1qKxrdP8wM4JGmNUKDM/tXxGxJ2UrN+3jlJMQ==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2021-12-09T08:10:00Z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2021-12-08T16:07:31Z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</Properties>
</file>